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066245C" w:rsidR="006A116E" w:rsidRPr="00BD5273" w:rsidRDefault="00000000">
      <w:pPr>
        <w:rPr>
          <w:color w:val="262626" w:themeColor="text1" w:themeTint="D9"/>
        </w:rPr>
      </w:pPr>
      <w:r w:rsidRPr="00BD5273">
        <w:rPr>
          <w:b/>
          <w:color w:val="262626" w:themeColor="text1" w:themeTint="D9"/>
        </w:rPr>
        <w:t>Program Charter:</w:t>
      </w:r>
      <w:r w:rsidRPr="00BD5273">
        <w:rPr>
          <w:color w:val="262626" w:themeColor="text1" w:themeTint="D9"/>
        </w:rPr>
        <w:t xml:space="preserve"> Collaborate Forward</w:t>
      </w:r>
    </w:p>
    <w:p w14:paraId="00000004" w14:textId="2C8F641E" w:rsidR="006A116E" w:rsidRPr="00BD5273" w:rsidRDefault="00000000">
      <w:pPr>
        <w:rPr>
          <w:color w:val="262626" w:themeColor="text1" w:themeTint="D9"/>
        </w:rPr>
      </w:pPr>
      <w:r w:rsidRPr="00BD5273">
        <w:rPr>
          <w:b/>
          <w:color w:val="262626" w:themeColor="text1" w:themeTint="D9"/>
        </w:rPr>
        <w:t xml:space="preserve">Program Lead: </w:t>
      </w:r>
      <w:r w:rsidRPr="00BD5273">
        <w:rPr>
          <w:color w:val="262626" w:themeColor="text1" w:themeTint="D9"/>
        </w:rPr>
        <w:t>Brian Egan</w:t>
      </w:r>
    </w:p>
    <w:p w14:paraId="00000009" w14:textId="65CBB5AB" w:rsidR="006A116E" w:rsidRPr="00BD5273" w:rsidRDefault="00000000">
      <w:pPr>
        <w:rPr>
          <w:color w:val="262626" w:themeColor="text1" w:themeTint="D9"/>
        </w:rPr>
      </w:pPr>
      <w:r w:rsidRPr="00BD5273">
        <w:rPr>
          <w:color w:val="262626" w:themeColor="text1" w:themeTint="D9"/>
        </w:rPr>
        <w:t>___________________________________________________________________________</w:t>
      </w:r>
    </w:p>
    <w:p w14:paraId="0000000A" w14:textId="77777777" w:rsidR="006A116E" w:rsidRPr="00BD5273" w:rsidRDefault="006A116E">
      <w:pPr>
        <w:rPr>
          <w:color w:val="262626" w:themeColor="text1" w:themeTint="D9"/>
        </w:rPr>
      </w:pPr>
    </w:p>
    <w:p w14:paraId="0000000B" w14:textId="0CA9EC34" w:rsidR="006A116E" w:rsidRPr="00BD5273" w:rsidRDefault="00CF6BC9" w:rsidP="00BD5273">
      <w:pPr>
        <w:pStyle w:val="SCRSHeader"/>
      </w:pPr>
      <w:r>
        <w:t xml:space="preserve"> </w:t>
      </w:r>
      <w:r w:rsidRPr="00BD5273">
        <w:t>Program Overview</w:t>
      </w:r>
    </w:p>
    <w:p w14:paraId="420367EA" w14:textId="6545C50A" w:rsidR="00AD4872" w:rsidRPr="00AD4872" w:rsidRDefault="00AD4872" w:rsidP="00AD4872">
      <w:pPr>
        <w:widowControl w:val="0"/>
        <w:spacing w:before="200"/>
        <w:rPr>
          <w:color w:val="262626" w:themeColor="text1" w:themeTint="D9"/>
        </w:rPr>
      </w:pPr>
      <w:r w:rsidRPr="00AD4872">
        <w:rPr>
          <w:color w:val="262626" w:themeColor="text1" w:themeTint="D9"/>
        </w:rPr>
        <w:t>Clinical research success requires interdependent leadership and repeatable collaboration practices between organizations.</w:t>
      </w:r>
    </w:p>
    <w:p w14:paraId="469B5370" w14:textId="40A4FC28" w:rsidR="00AD4872" w:rsidRPr="00AD4872" w:rsidRDefault="00AD4872" w:rsidP="00AD4872">
      <w:pPr>
        <w:widowControl w:val="0"/>
        <w:spacing w:before="200"/>
        <w:rPr>
          <w:color w:val="262626" w:themeColor="text1" w:themeTint="D9"/>
        </w:rPr>
      </w:pPr>
      <w:r w:rsidRPr="00AD4872">
        <w:rPr>
          <w:color w:val="262626" w:themeColor="text1" w:themeTint="D9"/>
        </w:rPr>
        <w:t xml:space="preserve">However, the nature of work within clinical research has evolved, becoming more complex and creating operational gaps that disproportionately impact site teams. These factors create </w:t>
      </w:r>
      <w:proofErr w:type="gramStart"/>
      <w:r w:rsidRPr="00AD4872">
        <w:rPr>
          <w:color w:val="262626" w:themeColor="text1" w:themeTint="D9"/>
        </w:rPr>
        <w:t>undue</w:t>
      </w:r>
      <w:proofErr w:type="gramEnd"/>
      <w:r w:rsidRPr="00AD4872">
        <w:rPr>
          <w:color w:val="262626" w:themeColor="text1" w:themeTint="D9"/>
        </w:rPr>
        <w:t xml:space="preserve"> burden, increased costs, and lost productivity.</w:t>
      </w:r>
    </w:p>
    <w:p w14:paraId="0000000E" w14:textId="4FDCD0DE" w:rsidR="006A116E" w:rsidRPr="00BD5273" w:rsidRDefault="00AD4872" w:rsidP="00AD4872">
      <w:pPr>
        <w:widowControl w:val="0"/>
        <w:spacing w:before="200"/>
        <w:rPr>
          <w:color w:val="262626" w:themeColor="text1" w:themeTint="D9"/>
        </w:rPr>
      </w:pPr>
      <w:r w:rsidRPr="00AD4872">
        <w:rPr>
          <w:color w:val="262626" w:themeColor="text1" w:themeTint="D9"/>
        </w:rPr>
        <w:t>Therefore, the Society for Clinical Research Sites (SCRS) Global Impact Partner (GIP) Community will explore best practices and resources to highlight the competitive advantage that great collaboration has on study success.</w:t>
      </w:r>
      <w:r w:rsidR="00000000" w:rsidRPr="00BD5273">
        <w:rPr>
          <w:color w:val="262626" w:themeColor="text1" w:themeTint="D9"/>
        </w:rPr>
        <w:br/>
      </w:r>
    </w:p>
    <w:p w14:paraId="0000000F" w14:textId="4D18CDA8" w:rsidR="006A116E" w:rsidRPr="00BD5273" w:rsidRDefault="00000000">
      <w:pPr>
        <w:widowControl w:val="0"/>
        <w:spacing w:after="200"/>
        <w:rPr>
          <w:color w:val="262626" w:themeColor="text1" w:themeTint="D9"/>
        </w:rPr>
      </w:pPr>
      <w:r w:rsidRPr="00BD5273">
        <w:rPr>
          <w:color w:val="262626" w:themeColor="text1" w:themeTint="D9"/>
        </w:rPr>
        <w:t xml:space="preserve">Collaborate Forward explores the clinical research process to understand best practices, define knowledge </w:t>
      </w:r>
      <w:r w:rsidR="00AD4872">
        <w:rPr>
          <w:color w:val="262626" w:themeColor="text1" w:themeTint="D9"/>
        </w:rPr>
        <w:t>principles</w:t>
      </w:r>
      <w:r w:rsidRPr="00BD5273">
        <w:rPr>
          <w:color w:val="262626" w:themeColor="text1" w:themeTint="D9"/>
        </w:rPr>
        <w:t>, and resource opportunities to showcase and demonstrate great clinical collaboration.</w:t>
      </w:r>
    </w:p>
    <w:p w14:paraId="00000010" w14:textId="03591C93" w:rsidR="006A116E" w:rsidRPr="00BD5273" w:rsidRDefault="00CF6BC9" w:rsidP="00BD5273">
      <w:pPr>
        <w:pStyle w:val="SCRSHeader"/>
      </w:pPr>
      <w:r>
        <w:t xml:space="preserve"> </w:t>
      </w:r>
      <w:r w:rsidRPr="00BD5273">
        <w:t>Objectives</w:t>
      </w:r>
    </w:p>
    <w:p w14:paraId="00000011" w14:textId="77777777" w:rsidR="006A116E" w:rsidRPr="00BD5273" w:rsidRDefault="00000000">
      <w:pPr>
        <w:widowControl w:val="0"/>
        <w:spacing w:before="200" w:line="240" w:lineRule="auto"/>
        <w:rPr>
          <w:color w:val="262626" w:themeColor="text1" w:themeTint="D9"/>
        </w:rPr>
      </w:pPr>
      <w:r w:rsidRPr="00BD5273">
        <w:rPr>
          <w:color w:val="262626" w:themeColor="text1" w:themeTint="D9"/>
        </w:rPr>
        <w:t xml:space="preserve">Increase industry collaboration through the discovery of, and dissemination of best practices for collaboration throughout clinical research. </w:t>
      </w:r>
    </w:p>
    <w:p w14:paraId="00000012" w14:textId="77777777" w:rsidR="006A116E" w:rsidRPr="00BD5273" w:rsidRDefault="00000000">
      <w:pPr>
        <w:widowControl w:val="0"/>
        <w:spacing w:before="200" w:line="240" w:lineRule="auto"/>
        <w:rPr>
          <w:color w:val="262626" w:themeColor="text1" w:themeTint="D9"/>
        </w:rPr>
      </w:pPr>
      <w:r w:rsidRPr="00BD5273">
        <w:rPr>
          <w:color w:val="262626" w:themeColor="text1" w:themeTint="D9"/>
        </w:rPr>
        <w:t>Identify common challenges to collaboration and opportunities to collaborate at each phase of clinical research.</w:t>
      </w:r>
    </w:p>
    <w:p w14:paraId="00000013" w14:textId="77777777" w:rsidR="006A116E" w:rsidRPr="00BD5273" w:rsidRDefault="00000000">
      <w:pPr>
        <w:widowControl w:val="0"/>
        <w:spacing w:before="200" w:line="240" w:lineRule="auto"/>
        <w:rPr>
          <w:color w:val="262626" w:themeColor="text1" w:themeTint="D9"/>
        </w:rPr>
      </w:pPr>
      <w:r w:rsidRPr="00BD5273">
        <w:rPr>
          <w:color w:val="262626" w:themeColor="text1" w:themeTint="D9"/>
        </w:rPr>
        <w:t>Solicit and highlight best practice examples obtained through industry interviews.</w:t>
      </w:r>
    </w:p>
    <w:p w14:paraId="00000014" w14:textId="322992E4" w:rsidR="00BD5273" w:rsidRDefault="00000000">
      <w:pPr>
        <w:widowControl w:val="0"/>
        <w:spacing w:before="200" w:line="240" w:lineRule="auto"/>
        <w:rPr>
          <w:color w:val="262626" w:themeColor="text1" w:themeTint="D9"/>
        </w:rPr>
      </w:pPr>
      <w:r w:rsidRPr="00BD5273">
        <w:rPr>
          <w:color w:val="262626" w:themeColor="text1" w:themeTint="D9"/>
        </w:rPr>
        <w:t>Provide metrics where collaboration can provide study advantage.</w:t>
      </w:r>
    </w:p>
    <w:p w14:paraId="7FF4FC15" w14:textId="77777777" w:rsidR="00BD5273" w:rsidRDefault="00BD5273">
      <w:pPr>
        <w:rPr>
          <w:color w:val="262626" w:themeColor="text1" w:themeTint="D9"/>
        </w:rPr>
      </w:pPr>
      <w:r>
        <w:rPr>
          <w:color w:val="262626" w:themeColor="text1" w:themeTint="D9"/>
        </w:rPr>
        <w:br w:type="page"/>
      </w:r>
    </w:p>
    <w:p w14:paraId="00000016" w14:textId="6DD72E3A" w:rsidR="006A116E" w:rsidRPr="00BD5273" w:rsidRDefault="00CF6BC9" w:rsidP="00BD5273">
      <w:pPr>
        <w:pStyle w:val="SCRSHeader"/>
      </w:pPr>
      <w:r>
        <w:lastRenderedPageBreak/>
        <w:t xml:space="preserve"> </w:t>
      </w:r>
      <w:r w:rsidRPr="00BD5273">
        <w:t>Scope</w:t>
      </w:r>
    </w:p>
    <w:p w14:paraId="2D6FBB67" w14:textId="77777777" w:rsidR="00BD5273" w:rsidRDefault="00BD5273">
      <w:pPr>
        <w:rPr>
          <w:color w:val="262626" w:themeColor="text1" w:themeTint="D9"/>
        </w:rPr>
      </w:pPr>
    </w:p>
    <w:p w14:paraId="00000017" w14:textId="7477A7DD" w:rsidR="006A116E" w:rsidRPr="00AD4872" w:rsidRDefault="00000000" w:rsidP="00AD4872">
      <w:pPr>
        <w:rPr>
          <w:color w:val="262626" w:themeColor="text1" w:themeTint="D9"/>
        </w:rPr>
      </w:pPr>
      <w:r w:rsidRPr="00AD4872">
        <w:rPr>
          <w:color w:val="262626" w:themeColor="text1" w:themeTint="D9"/>
        </w:rPr>
        <w:t>The scope of the Collaborate Forward project includes:</w:t>
      </w:r>
    </w:p>
    <w:p w14:paraId="00000018" w14:textId="77777777" w:rsidR="006A116E" w:rsidRPr="00BD5273" w:rsidRDefault="00000000" w:rsidP="00CF6BC9">
      <w:pPr>
        <w:numPr>
          <w:ilvl w:val="0"/>
          <w:numId w:val="16"/>
        </w:numPr>
        <w:rPr>
          <w:color w:val="262626" w:themeColor="text1" w:themeTint="D9"/>
        </w:rPr>
      </w:pPr>
      <w:r w:rsidRPr="00BD5273">
        <w:rPr>
          <w:color w:val="262626" w:themeColor="text1" w:themeTint="D9"/>
        </w:rPr>
        <w:t>Launch of a Landscape Survey designed to identify existing best practices for collaboration across clinical research and prioritize areas of opportunity within stages of clinical research.</w:t>
      </w:r>
    </w:p>
    <w:p w14:paraId="00000019" w14:textId="77777777" w:rsidR="006A116E" w:rsidRPr="00BD5273" w:rsidRDefault="00000000" w:rsidP="00CF6BC9">
      <w:pPr>
        <w:numPr>
          <w:ilvl w:val="0"/>
          <w:numId w:val="16"/>
        </w:numPr>
        <w:rPr>
          <w:color w:val="262626" w:themeColor="text1" w:themeTint="D9"/>
        </w:rPr>
      </w:pPr>
      <w:r w:rsidRPr="00BD5273">
        <w:rPr>
          <w:color w:val="262626" w:themeColor="text1" w:themeTint="D9"/>
        </w:rPr>
        <w:t>Collection of first-hand accounts of best practices through interviews with companies and individuals identified through the Landscape Survey.</w:t>
      </w:r>
    </w:p>
    <w:p w14:paraId="0000001A" w14:textId="77777777" w:rsidR="006A116E" w:rsidRPr="00BD5273" w:rsidRDefault="00000000" w:rsidP="00CF6BC9">
      <w:pPr>
        <w:numPr>
          <w:ilvl w:val="0"/>
          <w:numId w:val="16"/>
        </w:numPr>
        <w:rPr>
          <w:color w:val="262626" w:themeColor="text1" w:themeTint="D9"/>
        </w:rPr>
      </w:pPr>
      <w:r w:rsidRPr="00BD5273">
        <w:rPr>
          <w:color w:val="262626" w:themeColor="text1" w:themeTint="D9"/>
        </w:rPr>
        <w:t xml:space="preserve">Identification of the right conditions in place for collaboration success, called the “domains” of collaboration. </w:t>
      </w:r>
    </w:p>
    <w:p w14:paraId="0000001B" w14:textId="77777777" w:rsidR="006A116E" w:rsidRPr="00BD5273" w:rsidRDefault="00000000" w:rsidP="00CF6BC9">
      <w:pPr>
        <w:numPr>
          <w:ilvl w:val="0"/>
          <w:numId w:val="16"/>
        </w:numPr>
        <w:rPr>
          <w:color w:val="262626" w:themeColor="text1" w:themeTint="D9"/>
        </w:rPr>
      </w:pPr>
      <w:r w:rsidRPr="00BD5273">
        <w:rPr>
          <w:color w:val="262626" w:themeColor="text1" w:themeTint="D9"/>
        </w:rPr>
        <w:t>Define metrics that support successful clinical collaboration.</w:t>
      </w:r>
    </w:p>
    <w:p w14:paraId="0000001C" w14:textId="77777777" w:rsidR="006A116E" w:rsidRPr="00BD5273" w:rsidRDefault="00000000" w:rsidP="00CF6BC9">
      <w:pPr>
        <w:numPr>
          <w:ilvl w:val="0"/>
          <w:numId w:val="16"/>
        </w:numPr>
        <w:rPr>
          <w:color w:val="262626" w:themeColor="text1" w:themeTint="D9"/>
        </w:rPr>
      </w:pPr>
      <w:r w:rsidRPr="00BD5273">
        <w:rPr>
          <w:color w:val="262626" w:themeColor="text1" w:themeTint="D9"/>
        </w:rPr>
        <w:t xml:space="preserve">Creation of tangible solutions for collaboration in different phases of clinical research. </w:t>
      </w:r>
    </w:p>
    <w:p w14:paraId="0000001D" w14:textId="77777777" w:rsidR="006A116E" w:rsidRPr="00BD5273" w:rsidRDefault="00000000" w:rsidP="00CF6BC9">
      <w:pPr>
        <w:numPr>
          <w:ilvl w:val="0"/>
          <w:numId w:val="16"/>
        </w:numPr>
        <w:rPr>
          <w:color w:val="262626" w:themeColor="text1" w:themeTint="D9"/>
        </w:rPr>
      </w:pPr>
      <w:r w:rsidRPr="00BD5273">
        <w:rPr>
          <w:color w:val="262626" w:themeColor="text1" w:themeTint="D9"/>
        </w:rPr>
        <w:t>A robust implementation plan for sites, site networks, CROs, sponsors, and solution providers.</w:t>
      </w:r>
    </w:p>
    <w:p w14:paraId="0000001E" w14:textId="77777777" w:rsidR="006A116E" w:rsidRPr="00BD5273" w:rsidRDefault="006A116E">
      <w:pPr>
        <w:ind w:left="720"/>
        <w:rPr>
          <w:color w:val="262626" w:themeColor="text1" w:themeTint="D9"/>
        </w:rPr>
      </w:pPr>
    </w:p>
    <w:p w14:paraId="0000001F" w14:textId="276FB400" w:rsidR="006A116E" w:rsidRPr="00BD5273" w:rsidRDefault="00CF6BC9" w:rsidP="00BD5273">
      <w:pPr>
        <w:pStyle w:val="SCRSHeader"/>
      </w:pPr>
      <w:r>
        <w:t xml:space="preserve"> </w:t>
      </w:r>
      <w:r w:rsidRPr="00BD5273">
        <w:t>Key Deliverables</w:t>
      </w:r>
      <w:r w:rsidRPr="00BD5273">
        <w:tab/>
      </w:r>
    </w:p>
    <w:p w14:paraId="00000020" w14:textId="77777777" w:rsidR="006A116E" w:rsidRPr="00BD5273" w:rsidRDefault="006A116E">
      <w:pPr>
        <w:rPr>
          <w:b/>
          <w:color w:val="262626" w:themeColor="text1" w:themeTint="D9"/>
        </w:rPr>
      </w:pPr>
    </w:p>
    <w:p w14:paraId="00000021" w14:textId="77777777" w:rsidR="006A116E" w:rsidRPr="00BD5273" w:rsidRDefault="00000000">
      <w:pPr>
        <w:rPr>
          <w:color w:val="262626" w:themeColor="text1" w:themeTint="D9"/>
        </w:rPr>
      </w:pPr>
      <w:r w:rsidRPr="00BD5273">
        <w:rPr>
          <w:color w:val="262626" w:themeColor="text1" w:themeTint="D9"/>
        </w:rPr>
        <w:t xml:space="preserve">Deliverables for the project will be tangible and pragmatic. Considering the data has yet to be collected and analyzed, and there are multiple stakeholders to consider, the exact format of the deliverables will be determined in Q2 2025. </w:t>
      </w:r>
    </w:p>
    <w:p w14:paraId="00000022" w14:textId="77777777" w:rsidR="006A116E" w:rsidRPr="00BD5273" w:rsidRDefault="006A116E">
      <w:pPr>
        <w:rPr>
          <w:color w:val="262626" w:themeColor="text1" w:themeTint="D9"/>
        </w:rPr>
      </w:pPr>
    </w:p>
    <w:p w14:paraId="00000023" w14:textId="77777777" w:rsidR="006A116E" w:rsidRPr="00BD5273" w:rsidRDefault="00000000">
      <w:pPr>
        <w:rPr>
          <w:color w:val="262626" w:themeColor="text1" w:themeTint="D9"/>
        </w:rPr>
      </w:pPr>
      <w:r w:rsidRPr="00BD5273">
        <w:rPr>
          <w:color w:val="262626" w:themeColor="text1" w:themeTint="D9"/>
        </w:rPr>
        <w:t>However, the goals for deliverables include:</w:t>
      </w:r>
    </w:p>
    <w:p w14:paraId="00000024" w14:textId="77777777" w:rsidR="006A116E" w:rsidRPr="00BD5273" w:rsidRDefault="00000000">
      <w:pPr>
        <w:numPr>
          <w:ilvl w:val="0"/>
          <w:numId w:val="5"/>
        </w:numPr>
        <w:rPr>
          <w:color w:val="262626" w:themeColor="text1" w:themeTint="D9"/>
        </w:rPr>
      </w:pPr>
      <w:r w:rsidRPr="00BD5273">
        <w:rPr>
          <w:color w:val="262626" w:themeColor="text1" w:themeTint="D9"/>
        </w:rPr>
        <w:t>Collection of collaboration best practices across industry stakeholders intended to inspire, teach, and serve as a baseline for business cases for interested parties.</w:t>
      </w:r>
    </w:p>
    <w:p w14:paraId="00000025" w14:textId="77777777" w:rsidR="006A116E" w:rsidRPr="00BD5273" w:rsidRDefault="00000000">
      <w:pPr>
        <w:numPr>
          <w:ilvl w:val="0"/>
          <w:numId w:val="5"/>
        </w:numPr>
        <w:rPr>
          <w:color w:val="262626" w:themeColor="text1" w:themeTint="D9"/>
        </w:rPr>
      </w:pPr>
      <w:r w:rsidRPr="00BD5273">
        <w:rPr>
          <w:color w:val="262626" w:themeColor="text1" w:themeTint="D9"/>
        </w:rPr>
        <w:t xml:space="preserve">An understanding and establishment of essential collaboration “domains” - the conditions that must be in place for collaboration success. </w:t>
      </w:r>
    </w:p>
    <w:p w14:paraId="00000026" w14:textId="77777777" w:rsidR="006A116E" w:rsidRPr="00BD5273" w:rsidRDefault="00000000">
      <w:pPr>
        <w:numPr>
          <w:ilvl w:val="0"/>
          <w:numId w:val="5"/>
        </w:numPr>
        <w:rPr>
          <w:color w:val="262626" w:themeColor="text1" w:themeTint="D9"/>
        </w:rPr>
      </w:pPr>
      <w:r w:rsidRPr="00BD5273">
        <w:rPr>
          <w:color w:val="262626" w:themeColor="text1" w:themeTint="D9"/>
        </w:rPr>
        <w:t>A guide for industry stakeholders for approaching and partaking in industry collaboration as well as KPIs to measure success.</w:t>
      </w:r>
      <w:r w:rsidRPr="00BD5273">
        <w:rPr>
          <w:color w:val="262626" w:themeColor="text1" w:themeTint="D9"/>
        </w:rPr>
        <w:br/>
      </w:r>
    </w:p>
    <w:p w14:paraId="00000027" w14:textId="6FC303A5" w:rsidR="006A116E" w:rsidRPr="00BD5273" w:rsidRDefault="00CF6BC9" w:rsidP="00BD5273">
      <w:pPr>
        <w:pStyle w:val="SCRSHeader"/>
      </w:pPr>
      <w:r>
        <w:t xml:space="preserve"> </w:t>
      </w:r>
      <w:r w:rsidRPr="00BD5273">
        <w:t>Program Approach &amp; Strategy</w:t>
      </w:r>
      <w:r w:rsidRPr="00BD5273">
        <w:br/>
      </w:r>
    </w:p>
    <w:p w14:paraId="00000028" w14:textId="77777777" w:rsidR="006A116E" w:rsidRPr="00BD5273" w:rsidRDefault="00000000" w:rsidP="00BD5273">
      <w:pPr>
        <w:numPr>
          <w:ilvl w:val="0"/>
          <w:numId w:val="11"/>
        </w:numPr>
        <w:spacing w:line="278" w:lineRule="auto"/>
        <w:rPr>
          <w:rFonts w:ascii="Aptos" w:eastAsia="Aptos" w:hAnsi="Aptos" w:cs="Aptos"/>
          <w:color w:val="262626" w:themeColor="text1" w:themeTint="D9"/>
        </w:rPr>
      </w:pPr>
      <w:r w:rsidRPr="00BD5273">
        <w:rPr>
          <w:b/>
          <w:color w:val="262626" w:themeColor="text1" w:themeTint="D9"/>
        </w:rPr>
        <w:t>Working Group Collaboration:</w:t>
      </w:r>
      <w:r w:rsidRPr="00BD5273">
        <w:rPr>
          <w:color w:val="262626" w:themeColor="text1" w:themeTint="D9"/>
        </w:rPr>
        <w:t xml:space="preserve"> </w:t>
      </w:r>
    </w:p>
    <w:p w14:paraId="00000029" w14:textId="77777777" w:rsidR="006A116E" w:rsidRPr="00BD5273" w:rsidRDefault="00000000" w:rsidP="00BD5273">
      <w:pPr>
        <w:numPr>
          <w:ilvl w:val="1"/>
          <w:numId w:val="11"/>
        </w:numPr>
        <w:spacing w:line="278" w:lineRule="auto"/>
        <w:rPr>
          <w:rFonts w:ascii="Aptos" w:eastAsia="Aptos" w:hAnsi="Aptos" w:cs="Aptos"/>
          <w:color w:val="262626" w:themeColor="text1" w:themeTint="D9"/>
        </w:rPr>
      </w:pPr>
      <w:r w:rsidRPr="00BD5273">
        <w:rPr>
          <w:color w:val="262626" w:themeColor="text1" w:themeTint="D9"/>
        </w:rPr>
        <w:t>The working group will work in stages, first by collecting data and pain points, then by analyzing data and designing solutions, then engaging industry partners in discussions on how to incorporate collaboration into study phases.</w:t>
      </w:r>
    </w:p>
    <w:p w14:paraId="0000002A"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lastRenderedPageBreak/>
        <w:t>A combination of roundtable discussions, case study presentations, and expert panels will facilitate knowledge-sharing.</w:t>
      </w:r>
    </w:p>
    <w:p w14:paraId="0000002B"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 xml:space="preserve">Regular feedback loops will be established to refine recommendations over time. </w:t>
      </w:r>
    </w:p>
    <w:p w14:paraId="0000002C" w14:textId="77777777" w:rsidR="006A116E" w:rsidRPr="00BD5273" w:rsidRDefault="00000000" w:rsidP="00BD5273">
      <w:pPr>
        <w:numPr>
          <w:ilvl w:val="0"/>
          <w:numId w:val="11"/>
        </w:numPr>
        <w:spacing w:line="278" w:lineRule="auto"/>
        <w:rPr>
          <w:rFonts w:ascii="Aptos" w:eastAsia="Aptos" w:hAnsi="Aptos" w:cs="Aptos"/>
          <w:b/>
          <w:color w:val="262626" w:themeColor="text1" w:themeTint="D9"/>
        </w:rPr>
      </w:pPr>
      <w:r w:rsidRPr="00BD5273">
        <w:rPr>
          <w:b/>
          <w:color w:val="262626" w:themeColor="text1" w:themeTint="D9"/>
        </w:rPr>
        <w:t>Guiding Principles:</w:t>
      </w:r>
    </w:p>
    <w:p w14:paraId="0000002D"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Foster transparency and open dialogue to build trust among stakeholders.</w:t>
      </w:r>
    </w:p>
    <w:p w14:paraId="0000002E"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 xml:space="preserve">Ensure practicality by focusing on actionable insights and solutions. </w:t>
      </w:r>
    </w:p>
    <w:p w14:paraId="0000002F"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Encourage scalability so that successful collaborations can be replicated across the industry.</w:t>
      </w:r>
    </w:p>
    <w:p w14:paraId="00000030"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 xml:space="preserve">Maintain objectivity by using data-driven insights to shape recommendations. </w:t>
      </w:r>
    </w:p>
    <w:p w14:paraId="00000031" w14:textId="77777777" w:rsidR="006A116E" w:rsidRPr="00BD5273" w:rsidRDefault="00000000" w:rsidP="00BD5273">
      <w:pPr>
        <w:numPr>
          <w:ilvl w:val="0"/>
          <w:numId w:val="11"/>
        </w:numPr>
        <w:spacing w:line="278" w:lineRule="auto"/>
        <w:rPr>
          <w:b/>
          <w:color w:val="262626" w:themeColor="text1" w:themeTint="D9"/>
        </w:rPr>
      </w:pPr>
      <w:r w:rsidRPr="00BD5273">
        <w:rPr>
          <w:b/>
          <w:color w:val="262626" w:themeColor="text1" w:themeTint="D9"/>
        </w:rPr>
        <w:t>Framework for Collaboration Best Practices:</w:t>
      </w:r>
    </w:p>
    <w:p w14:paraId="00000032"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Define when collaboration is most beneficial versus when independent efforts are preferable.</w:t>
      </w:r>
    </w:p>
    <w:p w14:paraId="00000033"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Identify barriers to effective collaboration and strategies to overcome them.</w:t>
      </w:r>
    </w:p>
    <w:p w14:paraId="00000034" w14:textId="77777777" w:rsidR="006A116E" w:rsidRPr="00BD5273" w:rsidRDefault="00000000" w:rsidP="00BD5273">
      <w:pPr>
        <w:numPr>
          <w:ilvl w:val="1"/>
          <w:numId w:val="11"/>
        </w:numPr>
        <w:spacing w:line="278" w:lineRule="auto"/>
        <w:rPr>
          <w:color w:val="262626" w:themeColor="text1" w:themeTint="D9"/>
        </w:rPr>
      </w:pPr>
      <w:r w:rsidRPr="00BD5273">
        <w:rPr>
          <w:color w:val="262626" w:themeColor="text1" w:themeTint="D9"/>
        </w:rPr>
        <w:t xml:space="preserve">Develop a decision-making framework that helps stakeholders assess collaboration opportunities. </w:t>
      </w:r>
      <w:r w:rsidRPr="00BD5273">
        <w:rPr>
          <w:color w:val="262626" w:themeColor="text1" w:themeTint="D9"/>
        </w:rPr>
        <w:br/>
      </w:r>
    </w:p>
    <w:p w14:paraId="00000035" w14:textId="7FFD7BA4" w:rsidR="006A116E" w:rsidRPr="00BD5273" w:rsidRDefault="00CF6BC9" w:rsidP="00BD5273">
      <w:pPr>
        <w:pStyle w:val="SCRSHeader"/>
      </w:pPr>
      <w:r>
        <w:t xml:space="preserve"> </w:t>
      </w:r>
      <w:r w:rsidRPr="00BD5273">
        <w:t>Key Milestones</w:t>
      </w:r>
    </w:p>
    <w:p w14:paraId="05D55006" w14:textId="77777777" w:rsidR="00BD5273" w:rsidRDefault="00BD5273" w:rsidP="00BD5273">
      <w:pPr>
        <w:ind w:left="720"/>
        <w:rPr>
          <w:color w:val="262626" w:themeColor="text1" w:themeTint="D9"/>
        </w:rPr>
      </w:pPr>
    </w:p>
    <w:p w14:paraId="00000036" w14:textId="1D73FD9E" w:rsidR="006A116E" w:rsidRPr="00BD5273" w:rsidRDefault="00000000" w:rsidP="00CF6BC9">
      <w:pPr>
        <w:numPr>
          <w:ilvl w:val="0"/>
          <w:numId w:val="17"/>
        </w:numPr>
        <w:rPr>
          <w:color w:val="262626" w:themeColor="text1" w:themeTint="D9"/>
        </w:rPr>
      </w:pPr>
      <w:r w:rsidRPr="00BD5273">
        <w:rPr>
          <w:color w:val="262626" w:themeColor="text1" w:themeTint="D9"/>
        </w:rPr>
        <w:t>Kickoff of the Working Group: Q4 2024</w:t>
      </w:r>
    </w:p>
    <w:p w14:paraId="00000037" w14:textId="77777777" w:rsidR="006A116E" w:rsidRPr="00BD5273" w:rsidRDefault="00000000" w:rsidP="00CF6BC9">
      <w:pPr>
        <w:numPr>
          <w:ilvl w:val="0"/>
          <w:numId w:val="17"/>
        </w:numPr>
        <w:rPr>
          <w:color w:val="262626" w:themeColor="text1" w:themeTint="D9"/>
        </w:rPr>
      </w:pPr>
      <w:r w:rsidRPr="00BD5273">
        <w:rPr>
          <w:color w:val="262626" w:themeColor="text1" w:themeTint="D9"/>
        </w:rPr>
        <w:t>Launch and Analysis of the Landscape Survey: Q4 2024</w:t>
      </w:r>
    </w:p>
    <w:p w14:paraId="00000038" w14:textId="77777777" w:rsidR="006A116E" w:rsidRPr="00BD5273" w:rsidRDefault="00000000" w:rsidP="00CF6BC9">
      <w:pPr>
        <w:numPr>
          <w:ilvl w:val="0"/>
          <w:numId w:val="17"/>
        </w:numPr>
        <w:rPr>
          <w:color w:val="262626" w:themeColor="text1" w:themeTint="D9"/>
        </w:rPr>
      </w:pPr>
      <w:r w:rsidRPr="00BD5273">
        <w:rPr>
          <w:color w:val="262626" w:themeColor="text1" w:themeTint="D9"/>
        </w:rPr>
        <w:t>Prioritized areas of focus: Q4 2024</w:t>
      </w:r>
    </w:p>
    <w:p w14:paraId="00000039" w14:textId="77777777" w:rsidR="006A116E" w:rsidRPr="00BD5273" w:rsidRDefault="00000000" w:rsidP="00CF6BC9">
      <w:pPr>
        <w:numPr>
          <w:ilvl w:val="0"/>
          <w:numId w:val="17"/>
        </w:numPr>
        <w:rPr>
          <w:color w:val="262626" w:themeColor="text1" w:themeTint="D9"/>
        </w:rPr>
      </w:pPr>
      <w:r w:rsidRPr="00BD5273">
        <w:rPr>
          <w:color w:val="262626" w:themeColor="text1" w:themeTint="D9"/>
        </w:rPr>
        <w:t>Identify and Announce Collaborate Forward Sponsor: Q1 2025</w:t>
      </w:r>
    </w:p>
    <w:p w14:paraId="0000003A" w14:textId="77777777" w:rsidR="006A116E" w:rsidRPr="00BD5273" w:rsidRDefault="00000000" w:rsidP="00CF6BC9">
      <w:pPr>
        <w:numPr>
          <w:ilvl w:val="0"/>
          <w:numId w:val="17"/>
        </w:numPr>
        <w:rPr>
          <w:color w:val="262626" w:themeColor="text1" w:themeTint="D9"/>
        </w:rPr>
      </w:pPr>
      <w:r w:rsidRPr="00BD5273">
        <w:rPr>
          <w:color w:val="262626" w:themeColor="text1" w:themeTint="D9"/>
        </w:rPr>
        <w:t>Complete interviews with the demonstrators of best practices: Q1 2025</w:t>
      </w:r>
    </w:p>
    <w:p w14:paraId="0000003B" w14:textId="77777777" w:rsidR="006A116E" w:rsidRPr="00BD5273" w:rsidRDefault="00000000" w:rsidP="00CF6BC9">
      <w:pPr>
        <w:numPr>
          <w:ilvl w:val="0"/>
          <w:numId w:val="17"/>
        </w:numPr>
        <w:rPr>
          <w:color w:val="262626" w:themeColor="text1" w:themeTint="D9"/>
        </w:rPr>
      </w:pPr>
      <w:r w:rsidRPr="00BD5273">
        <w:rPr>
          <w:color w:val="262626" w:themeColor="text1" w:themeTint="D9"/>
        </w:rPr>
        <w:t xml:space="preserve">Complete analysis of the interview data and </w:t>
      </w:r>
      <w:proofErr w:type="gramStart"/>
      <w:r w:rsidRPr="00BD5273">
        <w:rPr>
          <w:color w:val="262626" w:themeColor="text1" w:themeTint="D9"/>
        </w:rPr>
        <w:t>align</w:t>
      </w:r>
      <w:proofErr w:type="gramEnd"/>
      <w:r w:rsidRPr="00BD5273">
        <w:rPr>
          <w:color w:val="262626" w:themeColor="text1" w:themeTint="D9"/>
        </w:rPr>
        <w:t xml:space="preserve"> on solution delivery: Q2 2025</w:t>
      </w:r>
    </w:p>
    <w:p w14:paraId="0000003C" w14:textId="77777777" w:rsidR="006A116E" w:rsidRPr="00BD5273" w:rsidRDefault="00000000" w:rsidP="00CF6BC9">
      <w:pPr>
        <w:numPr>
          <w:ilvl w:val="0"/>
          <w:numId w:val="17"/>
        </w:numPr>
        <w:rPr>
          <w:color w:val="262626" w:themeColor="text1" w:themeTint="D9"/>
        </w:rPr>
      </w:pPr>
      <w:r w:rsidRPr="00BD5273">
        <w:rPr>
          <w:color w:val="262626" w:themeColor="text1" w:themeTint="D9"/>
        </w:rPr>
        <w:t>Present preview of playbook at SCRS Global: Q3 2025</w:t>
      </w:r>
    </w:p>
    <w:p w14:paraId="0000003D" w14:textId="77777777" w:rsidR="006A116E" w:rsidRPr="00BD5273" w:rsidRDefault="00000000" w:rsidP="00CF6BC9">
      <w:pPr>
        <w:numPr>
          <w:ilvl w:val="0"/>
          <w:numId w:val="17"/>
        </w:numPr>
        <w:rPr>
          <w:color w:val="262626" w:themeColor="text1" w:themeTint="D9"/>
        </w:rPr>
      </w:pPr>
      <w:r w:rsidRPr="00BD5273">
        <w:rPr>
          <w:color w:val="262626" w:themeColor="text1" w:themeTint="D9"/>
        </w:rPr>
        <w:t>Release V1.0 of playbook Q4 2025</w:t>
      </w:r>
    </w:p>
    <w:p w14:paraId="0000003E" w14:textId="77777777" w:rsidR="006A116E" w:rsidRPr="00BD5273" w:rsidRDefault="00000000" w:rsidP="00CF6BC9">
      <w:pPr>
        <w:numPr>
          <w:ilvl w:val="1"/>
          <w:numId w:val="17"/>
        </w:numPr>
        <w:rPr>
          <w:color w:val="262626" w:themeColor="text1" w:themeTint="D9"/>
        </w:rPr>
      </w:pPr>
      <w:r w:rsidRPr="00BD5273">
        <w:rPr>
          <w:color w:val="262626" w:themeColor="text1" w:themeTint="D9"/>
        </w:rPr>
        <w:t>Defining the role and impact of collaboration in clinical research</w:t>
      </w:r>
    </w:p>
    <w:p w14:paraId="0000003F" w14:textId="77777777" w:rsidR="006A116E" w:rsidRPr="00BD5273" w:rsidRDefault="00000000" w:rsidP="00CF6BC9">
      <w:pPr>
        <w:numPr>
          <w:ilvl w:val="1"/>
          <w:numId w:val="17"/>
        </w:numPr>
        <w:rPr>
          <w:color w:val="262626" w:themeColor="text1" w:themeTint="D9"/>
        </w:rPr>
      </w:pPr>
      <w:r w:rsidRPr="00BD5273">
        <w:rPr>
          <w:color w:val="262626" w:themeColor="text1" w:themeTint="D9"/>
        </w:rPr>
        <w:t>Highlighting successful examples of collaboration in clinical research</w:t>
      </w:r>
    </w:p>
    <w:p w14:paraId="00000040" w14:textId="77777777" w:rsidR="006A116E" w:rsidRPr="00BD5273" w:rsidRDefault="00000000" w:rsidP="00CF6BC9">
      <w:pPr>
        <w:numPr>
          <w:ilvl w:val="1"/>
          <w:numId w:val="17"/>
        </w:numPr>
        <w:rPr>
          <w:color w:val="262626" w:themeColor="text1" w:themeTint="D9"/>
        </w:rPr>
      </w:pPr>
      <w:r w:rsidRPr="00BD5273">
        <w:rPr>
          <w:color w:val="262626" w:themeColor="text1" w:themeTint="D9"/>
        </w:rPr>
        <w:t>Defining knowledge domains for sites, sponsors, CROs, and solution provider</w:t>
      </w:r>
    </w:p>
    <w:p w14:paraId="00000041" w14:textId="77777777" w:rsidR="006A116E" w:rsidRPr="00BD5273" w:rsidRDefault="006A116E">
      <w:pPr>
        <w:ind w:left="720"/>
        <w:rPr>
          <w:b/>
          <w:color w:val="262626" w:themeColor="text1" w:themeTint="D9"/>
        </w:rPr>
      </w:pPr>
    </w:p>
    <w:p w14:paraId="53EB2572" w14:textId="346774ED" w:rsidR="00BD5273" w:rsidRPr="00BD5273" w:rsidRDefault="00CF6BC9" w:rsidP="00BD5273">
      <w:pPr>
        <w:pStyle w:val="SCRSHeader"/>
      </w:pPr>
      <w:r>
        <w:t xml:space="preserve"> </w:t>
      </w:r>
      <w:r w:rsidRPr="00BD5273">
        <w:t>Success Criteria</w:t>
      </w:r>
    </w:p>
    <w:p w14:paraId="3AD1B587" w14:textId="77777777" w:rsidR="00BD5273" w:rsidRDefault="00BD5273" w:rsidP="00BD5273">
      <w:pPr>
        <w:spacing w:line="278" w:lineRule="auto"/>
        <w:ind w:left="720"/>
        <w:rPr>
          <w:color w:val="262626" w:themeColor="text1" w:themeTint="D9"/>
        </w:rPr>
      </w:pPr>
    </w:p>
    <w:p w14:paraId="00000043" w14:textId="2BF03FF0" w:rsidR="006A116E" w:rsidRPr="00BD5273" w:rsidRDefault="00000000" w:rsidP="00CF6BC9">
      <w:pPr>
        <w:numPr>
          <w:ilvl w:val="0"/>
          <w:numId w:val="18"/>
        </w:numPr>
        <w:spacing w:line="278" w:lineRule="auto"/>
        <w:rPr>
          <w:color w:val="262626" w:themeColor="text1" w:themeTint="D9"/>
        </w:rPr>
      </w:pPr>
      <w:r w:rsidRPr="00BD5273">
        <w:rPr>
          <w:color w:val="262626" w:themeColor="text1" w:themeTint="D9"/>
        </w:rPr>
        <w:t>Support from SCRS GIP members to continue the work beyond the first set of prioritized clinical trial phases.</w:t>
      </w:r>
    </w:p>
    <w:p w14:paraId="00000044" w14:textId="77777777" w:rsidR="006A116E" w:rsidRPr="00BD5273" w:rsidRDefault="00000000" w:rsidP="00CF6BC9">
      <w:pPr>
        <w:numPr>
          <w:ilvl w:val="0"/>
          <w:numId w:val="18"/>
        </w:numPr>
        <w:spacing w:line="278" w:lineRule="auto"/>
        <w:rPr>
          <w:color w:val="262626" w:themeColor="text1" w:themeTint="D9"/>
        </w:rPr>
      </w:pPr>
      <w:r w:rsidRPr="00BD5273">
        <w:rPr>
          <w:color w:val="262626" w:themeColor="text1" w:themeTint="D9"/>
        </w:rPr>
        <w:t>At least one industry case study showcasing successful implementation by Q2 2026.</w:t>
      </w:r>
    </w:p>
    <w:p w14:paraId="00000045" w14:textId="77777777" w:rsidR="006A116E" w:rsidRPr="00BD5273" w:rsidRDefault="00000000" w:rsidP="00CF6BC9">
      <w:pPr>
        <w:numPr>
          <w:ilvl w:val="0"/>
          <w:numId w:val="18"/>
        </w:numPr>
        <w:spacing w:line="278" w:lineRule="auto"/>
        <w:rPr>
          <w:color w:val="262626" w:themeColor="text1" w:themeTint="D9"/>
        </w:rPr>
      </w:pPr>
      <w:r w:rsidRPr="00BD5273">
        <w:rPr>
          <w:color w:val="262626" w:themeColor="text1" w:themeTint="D9"/>
        </w:rPr>
        <w:t>Demonstrable time and cost savings for Sponsors, CROs, solution providers and clinical sites.</w:t>
      </w:r>
    </w:p>
    <w:p w14:paraId="00000046" w14:textId="77777777" w:rsidR="006A116E" w:rsidRPr="00BD5273" w:rsidRDefault="00000000" w:rsidP="00CF6BC9">
      <w:pPr>
        <w:numPr>
          <w:ilvl w:val="1"/>
          <w:numId w:val="18"/>
        </w:numPr>
        <w:spacing w:line="278" w:lineRule="auto"/>
        <w:rPr>
          <w:color w:val="262626" w:themeColor="text1" w:themeTint="D9"/>
        </w:rPr>
      </w:pPr>
      <w:r w:rsidRPr="00BD5273">
        <w:rPr>
          <w:color w:val="262626" w:themeColor="text1" w:themeTint="D9"/>
        </w:rPr>
        <w:lastRenderedPageBreak/>
        <w:t>Operational efficiency gains (e.g., reduced startup timelines, cost savings)</w:t>
      </w:r>
    </w:p>
    <w:p w14:paraId="00000047" w14:textId="77777777" w:rsidR="006A116E" w:rsidRPr="00BD5273" w:rsidRDefault="00000000" w:rsidP="00CF6BC9">
      <w:pPr>
        <w:numPr>
          <w:ilvl w:val="1"/>
          <w:numId w:val="18"/>
        </w:numPr>
        <w:spacing w:line="278" w:lineRule="auto"/>
        <w:rPr>
          <w:color w:val="262626" w:themeColor="text1" w:themeTint="D9"/>
        </w:rPr>
      </w:pPr>
      <w:r w:rsidRPr="00BD5273">
        <w:rPr>
          <w:color w:val="262626" w:themeColor="text1" w:themeTint="D9"/>
        </w:rPr>
        <w:t>Improved stakeholder alignment (e.g., survey-based sentiment analysis)</w:t>
      </w:r>
    </w:p>
    <w:p w14:paraId="00000048" w14:textId="77777777" w:rsidR="006A116E" w:rsidRPr="00BD5273" w:rsidRDefault="00000000" w:rsidP="00CF6BC9">
      <w:pPr>
        <w:numPr>
          <w:ilvl w:val="1"/>
          <w:numId w:val="18"/>
        </w:numPr>
        <w:spacing w:line="278" w:lineRule="auto"/>
        <w:rPr>
          <w:color w:val="262626" w:themeColor="text1" w:themeTint="D9"/>
        </w:rPr>
      </w:pPr>
      <w:r w:rsidRPr="00BD5273">
        <w:rPr>
          <w:color w:val="262626" w:themeColor="text1" w:themeTint="D9"/>
        </w:rPr>
        <w:t xml:space="preserve">Data-driven outcomes (e.g., measurable improvements in trial enrollment, protocol compliance). </w:t>
      </w:r>
      <w:r w:rsidRPr="00BD5273">
        <w:rPr>
          <w:color w:val="262626" w:themeColor="text1" w:themeTint="D9"/>
        </w:rPr>
        <w:br/>
      </w:r>
    </w:p>
    <w:p w14:paraId="00000049" w14:textId="3A7D30B9" w:rsidR="006A116E" w:rsidRPr="00BD5273" w:rsidRDefault="00CF6BC9" w:rsidP="00BD5273">
      <w:pPr>
        <w:pStyle w:val="SCRSHeader"/>
      </w:pPr>
      <w:r>
        <w:t xml:space="preserve"> </w:t>
      </w:r>
      <w:r w:rsidRPr="00BD5273">
        <w:t>Risks &amp; Mitigations</w:t>
      </w:r>
    </w:p>
    <w:p w14:paraId="3A66B5AF" w14:textId="77777777" w:rsidR="00BD5273" w:rsidRPr="00BD5273" w:rsidRDefault="00BD5273" w:rsidP="00BD5273">
      <w:pPr>
        <w:spacing w:line="278" w:lineRule="auto"/>
        <w:ind w:left="720"/>
        <w:rPr>
          <w:rFonts w:ascii="Aptos" w:eastAsia="Aptos" w:hAnsi="Aptos" w:cs="Aptos"/>
          <w:color w:val="262626" w:themeColor="text1" w:themeTint="D9"/>
        </w:rPr>
      </w:pPr>
    </w:p>
    <w:p w14:paraId="0000004A" w14:textId="05FC481A" w:rsidR="006A116E" w:rsidRPr="00BD5273" w:rsidRDefault="00000000" w:rsidP="00BD5273">
      <w:pPr>
        <w:numPr>
          <w:ilvl w:val="0"/>
          <w:numId w:val="12"/>
        </w:numPr>
        <w:spacing w:line="278" w:lineRule="auto"/>
        <w:rPr>
          <w:rFonts w:ascii="Aptos" w:eastAsia="Aptos" w:hAnsi="Aptos" w:cs="Aptos"/>
          <w:color w:val="262626" w:themeColor="text1" w:themeTint="D9"/>
        </w:rPr>
      </w:pPr>
      <w:r w:rsidRPr="00BD5273">
        <w:rPr>
          <w:b/>
          <w:color w:val="262626" w:themeColor="text1" w:themeTint="D9"/>
        </w:rPr>
        <w:t>Risk:</w:t>
      </w:r>
      <w:r w:rsidRPr="00BD5273">
        <w:rPr>
          <w:color w:val="262626" w:themeColor="text1" w:themeTint="D9"/>
        </w:rPr>
        <w:t xml:space="preserve"> Lack of commitment from industry partners.</w:t>
      </w:r>
    </w:p>
    <w:p w14:paraId="0000004B" w14:textId="77777777" w:rsidR="006A116E" w:rsidRPr="00BD5273" w:rsidRDefault="00000000" w:rsidP="00BD5273">
      <w:pPr>
        <w:numPr>
          <w:ilvl w:val="1"/>
          <w:numId w:val="12"/>
        </w:numPr>
        <w:spacing w:line="278" w:lineRule="auto"/>
        <w:rPr>
          <w:rFonts w:ascii="Aptos" w:eastAsia="Aptos" w:hAnsi="Aptos" w:cs="Aptos"/>
          <w:color w:val="262626" w:themeColor="text1" w:themeTint="D9"/>
        </w:rPr>
      </w:pPr>
      <w:r w:rsidRPr="00BD5273">
        <w:rPr>
          <w:b/>
          <w:color w:val="262626" w:themeColor="text1" w:themeTint="D9"/>
        </w:rPr>
        <w:t>Mitigation:</w:t>
      </w:r>
      <w:r w:rsidRPr="00BD5273">
        <w:rPr>
          <w:color w:val="262626" w:themeColor="text1" w:themeTint="D9"/>
        </w:rPr>
        <w:t xml:space="preserve"> Engage early and frequently with industry partners to secure buy-in. Continue to involve team members and specify roles that are to their strengths. Engage with GIP leaders and acknowledge the work and commitments of the team members from their companies.</w:t>
      </w:r>
    </w:p>
    <w:p w14:paraId="0000004C" w14:textId="77777777" w:rsidR="006A116E" w:rsidRPr="00BD5273" w:rsidRDefault="00000000" w:rsidP="00BD5273">
      <w:pPr>
        <w:numPr>
          <w:ilvl w:val="0"/>
          <w:numId w:val="12"/>
        </w:numPr>
        <w:spacing w:line="278" w:lineRule="auto"/>
        <w:rPr>
          <w:rFonts w:ascii="Aptos" w:eastAsia="Aptos" w:hAnsi="Aptos" w:cs="Aptos"/>
          <w:color w:val="262626" w:themeColor="text1" w:themeTint="D9"/>
        </w:rPr>
      </w:pPr>
      <w:r w:rsidRPr="00BD5273">
        <w:rPr>
          <w:b/>
          <w:color w:val="262626" w:themeColor="text1" w:themeTint="D9"/>
        </w:rPr>
        <w:t>Risk:</w:t>
      </w:r>
      <w:r w:rsidRPr="00BD5273">
        <w:rPr>
          <w:color w:val="262626" w:themeColor="text1" w:themeTint="D9"/>
        </w:rPr>
        <w:t xml:space="preserve"> The stigma that change cannot occur at certain points of the clinical research phase (i.e. contracts &amp; budgets).</w:t>
      </w:r>
    </w:p>
    <w:p w14:paraId="0000004D" w14:textId="77777777" w:rsidR="006A116E" w:rsidRPr="00BD5273" w:rsidRDefault="00000000" w:rsidP="00BD5273">
      <w:pPr>
        <w:numPr>
          <w:ilvl w:val="1"/>
          <w:numId w:val="12"/>
        </w:numPr>
        <w:spacing w:line="278" w:lineRule="auto"/>
        <w:rPr>
          <w:rFonts w:ascii="Aptos" w:eastAsia="Aptos" w:hAnsi="Aptos" w:cs="Aptos"/>
          <w:color w:val="262626" w:themeColor="text1" w:themeTint="D9"/>
        </w:rPr>
      </w:pPr>
      <w:r w:rsidRPr="00BD5273">
        <w:rPr>
          <w:b/>
          <w:color w:val="262626" w:themeColor="text1" w:themeTint="D9"/>
        </w:rPr>
        <w:t>Mitigation:</w:t>
      </w:r>
      <w:r w:rsidRPr="00BD5273">
        <w:rPr>
          <w:color w:val="262626" w:themeColor="text1" w:themeTint="D9"/>
        </w:rPr>
        <w:t xml:space="preserve"> Intake as much information as possible from all involved stakeholders across the ecosystem. Then, when building deliverables and reporting results, frame it against the challenge statements made that informed the stigma. </w:t>
      </w:r>
    </w:p>
    <w:p w14:paraId="0000004E" w14:textId="77777777" w:rsidR="006A116E" w:rsidRPr="00BD5273" w:rsidRDefault="00000000" w:rsidP="00BD5273">
      <w:pPr>
        <w:numPr>
          <w:ilvl w:val="0"/>
          <w:numId w:val="12"/>
        </w:numPr>
        <w:spacing w:line="278" w:lineRule="auto"/>
        <w:rPr>
          <w:rFonts w:ascii="Aptos" w:eastAsia="Aptos" w:hAnsi="Aptos" w:cs="Aptos"/>
          <w:color w:val="262626" w:themeColor="text1" w:themeTint="D9"/>
        </w:rPr>
      </w:pPr>
      <w:r w:rsidRPr="00BD5273">
        <w:rPr>
          <w:b/>
          <w:color w:val="262626" w:themeColor="text1" w:themeTint="D9"/>
        </w:rPr>
        <w:t>Risk:</w:t>
      </w:r>
      <w:r w:rsidRPr="00BD5273">
        <w:rPr>
          <w:color w:val="262626" w:themeColor="text1" w:themeTint="D9"/>
        </w:rPr>
        <w:t xml:space="preserve"> Difficulty in measuring impact.</w:t>
      </w:r>
    </w:p>
    <w:p w14:paraId="0000004F" w14:textId="77777777" w:rsidR="006A116E" w:rsidRPr="00BD5273" w:rsidRDefault="00000000" w:rsidP="00BD5273">
      <w:pPr>
        <w:numPr>
          <w:ilvl w:val="1"/>
          <w:numId w:val="12"/>
        </w:numPr>
        <w:spacing w:line="278" w:lineRule="auto"/>
        <w:rPr>
          <w:rFonts w:ascii="Aptos" w:eastAsia="Aptos" w:hAnsi="Aptos" w:cs="Aptos"/>
          <w:color w:val="262626" w:themeColor="text1" w:themeTint="D9"/>
        </w:rPr>
      </w:pPr>
      <w:r w:rsidRPr="00BD5273">
        <w:rPr>
          <w:b/>
          <w:color w:val="262626" w:themeColor="text1" w:themeTint="D9"/>
        </w:rPr>
        <w:t>Mitigation:</w:t>
      </w:r>
      <w:r w:rsidRPr="00BD5273">
        <w:rPr>
          <w:color w:val="262626" w:themeColor="text1" w:themeTint="D9"/>
        </w:rPr>
        <w:t xml:space="preserve"> Develop clear, consistent metrics for pre- and post-benchmarking of different stages of clinical research.</w:t>
      </w:r>
      <w:r w:rsidRPr="00BD5273">
        <w:rPr>
          <w:color w:val="262626" w:themeColor="text1" w:themeTint="D9"/>
        </w:rPr>
        <w:br/>
      </w:r>
    </w:p>
    <w:p w14:paraId="00000050" w14:textId="5B06F164" w:rsidR="006A116E" w:rsidRPr="00BD5273" w:rsidRDefault="00CF6BC9" w:rsidP="00BD5273">
      <w:pPr>
        <w:pStyle w:val="SCRSHeader"/>
      </w:pPr>
      <w:r>
        <w:t xml:space="preserve"> </w:t>
      </w:r>
      <w:r w:rsidRPr="00BD5273">
        <w:t>Governance &amp; Reporting</w:t>
      </w:r>
    </w:p>
    <w:p w14:paraId="359DE8E4" w14:textId="77777777" w:rsidR="00BD5273" w:rsidRPr="00BD5273" w:rsidRDefault="00BD5273" w:rsidP="00BD5273">
      <w:pPr>
        <w:spacing w:line="278" w:lineRule="auto"/>
        <w:ind w:left="720"/>
        <w:rPr>
          <w:rFonts w:ascii="Aptos" w:eastAsia="Aptos" w:hAnsi="Aptos" w:cs="Aptos"/>
          <w:color w:val="262626" w:themeColor="text1" w:themeTint="D9"/>
        </w:rPr>
      </w:pPr>
    </w:p>
    <w:p w14:paraId="00000051" w14:textId="7BE07FF5" w:rsidR="006A116E" w:rsidRPr="00BD5273" w:rsidRDefault="00000000" w:rsidP="00BD5273">
      <w:pPr>
        <w:numPr>
          <w:ilvl w:val="0"/>
          <w:numId w:val="13"/>
        </w:numPr>
        <w:spacing w:line="278" w:lineRule="auto"/>
        <w:rPr>
          <w:rFonts w:ascii="Aptos" w:eastAsia="Aptos" w:hAnsi="Aptos" w:cs="Aptos"/>
          <w:color w:val="262626" w:themeColor="text1" w:themeTint="D9"/>
        </w:rPr>
      </w:pPr>
      <w:r w:rsidRPr="00BD5273">
        <w:rPr>
          <w:b/>
          <w:color w:val="262626" w:themeColor="text1" w:themeTint="D9"/>
        </w:rPr>
        <w:t>Steering Committee:</w:t>
      </w:r>
      <w:r w:rsidRPr="00BD5273">
        <w:rPr>
          <w:color w:val="262626" w:themeColor="text1" w:themeTint="D9"/>
        </w:rPr>
        <w:t xml:space="preserve"> Regularly review progress, address challenges, and make strategic decisions. This body consists of Project Lead, </w:t>
      </w:r>
      <w:proofErr w:type="spellStart"/>
      <w:r w:rsidRPr="00BD5273">
        <w:rPr>
          <w:color w:val="262626" w:themeColor="text1" w:themeTint="D9"/>
        </w:rPr>
        <w:t>Fortrea</w:t>
      </w:r>
      <w:proofErr w:type="spellEnd"/>
      <w:r w:rsidRPr="00BD5273">
        <w:rPr>
          <w:color w:val="262626" w:themeColor="text1" w:themeTint="D9"/>
        </w:rPr>
        <w:t xml:space="preserve"> Sponsor, and SCRS </w:t>
      </w:r>
      <w:r w:rsidR="00AD4872">
        <w:rPr>
          <w:color w:val="262626" w:themeColor="text1" w:themeTint="D9"/>
        </w:rPr>
        <w:t xml:space="preserve">Partnership </w:t>
      </w:r>
      <w:r w:rsidRPr="00BD5273">
        <w:rPr>
          <w:color w:val="262626" w:themeColor="text1" w:themeTint="D9"/>
        </w:rPr>
        <w:t>Team.</w:t>
      </w:r>
    </w:p>
    <w:p w14:paraId="00000052" w14:textId="77777777" w:rsidR="006A116E" w:rsidRPr="00BD5273" w:rsidRDefault="00000000" w:rsidP="00BD5273">
      <w:pPr>
        <w:numPr>
          <w:ilvl w:val="0"/>
          <w:numId w:val="13"/>
        </w:numPr>
        <w:spacing w:line="278" w:lineRule="auto"/>
        <w:rPr>
          <w:rFonts w:ascii="Aptos" w:eastAsia="Aptos" w:hAnsi="Aptos" w:cs="Aptos"/>
          <w:color w:val="262626" w:themeColor="text1" w:themeTint="D9"/>
        </w:rPr>
      </w:pPr>
      <w:r w:rsidRPr="00BD5273">
        <w:rPr>
          <w:b/>
          <w:color w:val="262626" w:themeColor="text1" w:themeTint="D9"/>
        </w:rPr>
        <w:t>Program Reporting:</w:t>
      </w:r>
      <w:r w:rsidRPr="00BD5273">
        <w:rPr>
          <w:color w:val="262626" w:themeColor="text1" w:themeTint="D9"/>
        </w:rPr>
        <w:t xml:space="preserve"> Updates every 4-6 weeks to stakeholders on the working group, and SCRS leadership. Updates will include progress to date, significant accomplishments, next steps, and any risks and mitigations. </w:t>
      </w:r>
    </w:p>
    <w:p w14:paraId="00000053" w14:textId="77777777" w:rsidR="006A116E" w:rsidRPr="00BD5273" w:rsidRDefault="00000000" w:rsidP="00BD5273">
      <w:pPr>
        <w:numPr>
          <w:ilvl w:val="0"/>
          <w:numId w:val="13"/>
        </w:numPr>
        <w:spacing w:line="278" w:lineRule="auto"/>
        <w:rPr>
          <w:rFonts w:ascii="Aptos" w:eastAsia="Aptos" w:hAnsi="Aptos" w:cs="Aptos"/>
          <w:color w:val="262626" w:themeColor="text1" w:themeTint="D9"/>
        </w:rPr>
      </w:pPr>
      <w:r w:rsidRPr="00BD5273">
        <w:rPr>
          <w:b/>
          <w:color w:val="262626" w:themeColor="text1" w:themeTint="D9"/>
        </w:rPr>
        <w:t xml:space="preserve">GIP Meeting: </w:t>
      </w:r>
      <w:r w:rsidRPr="00BD5273">
        <w:rPr>
          <w:color w:val="262626" w:themeColor="text1" w:themeTint="D9"/>
        </w:rPr>
        <w:t xml:space="preserve">Regular updates will be provided to the GIP members as part of regular GIP Calls. </w:t>
      </w:r>
    </w:p>
    <w:p w14:paraId="00000054" w14:textId="085FFE8A" w:rsidR="00BD5273" w:rsidRDefault="00000000" w:rsidP="00BD5273">
      <w:pPr>
        <w:numPr>
          <w:ilvl w:val="0"/>
          <w:numId w:val="13"/>
        </w:numPr>
        <w:spacing w:line="278" w:lineRule="auto"/>
        <w:rPr>
          <w:rFonts w:ascii="Aptos" w:eastAsia="Aptos" w:hAnsi="Aptos" w:cs="Aptos"/>
          <w:color w:val="262626" w:themeColor="text1" w:themeTint="D9"/>
        </w:rPr>
      </w:pPr>
      <w:r w:rsidRPr="00BD5273">
        <w:rPr>
          <w:b/>
          <w:color w:val="262626" w:themeColor="text1" w:themeTint="D9"/>
        </w:rPr>
        <w:t>Ongoing Solicitation:</w:t>
      </w:r>
      <w:r w:rsidRPr="00BD5273">
        <w:rPr>
          <w:color w:val="262626" w:themeColor="text1" w:themeTint="D9"/>
        </w:rPr>
        <w:t xml:space="preserve"> At events, Summits, and in meetings, the team will continue to have updates available for all involved or interested parties. </w:t>
      </w:r>
      <w:r w:rsidRPr="00BD5273">
        <w:rPr>
          <w:color w:val="262626" w:themeColor="text1" w:themeTint="D9"/>
        </w:rPr>
        <w:br/>
      </w:r>
    </w:p>
    <w:p w14:paraId="56BC1434" w14:textId="6E99C2D3" w:rsidR="006A116E" w:rsidRPr="00BD5273" w:rsidRDefault="006A116E" w:rsidP="00BD5273">
      <w:pPr>
        <w:rPr>
          <w:rFonts w:ascii="Aptos" w:eastAsia="Aptos" w:hAnsi="Aptos" w:cs="Aptos"/>
          <w:color w:val="262626" w:themeColor="text1" w:themeTint="D9"/>
        </w:rPr>
      </w:pPr>
    </w:p>
    <w:sectPr w:rsidR="006A116E" w:rsidRPr="00BD5273" w:rsidSect="00BD5273">
      <w:headerReference w:type="default" r:id="rId7"/>
      <w:pgSz w:w="12240" w:h="15840"/>
      <w:pgMar w:top="1440" w:right="1440" w:bottom="1440" w:left="1440" w:header="25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6A08" w14:textId="77777777" w:rsidR="000E0C83" w:rsidRDefault="000E0C83" w:rsidP="00BD5273">
      <w:pPr>
        <w:spacing w:line="240" w:lineRule="auto"/>
      </w:pPr>
      <w:r>
        <w:separator/>
      </w:r>
    </w:p>
  </w:endnote>
  <w:endnote w:type="continuationSeparator" w:id="0">
    <w:p w14:paraId="0A288CCF" w14:textId="77777777" w:rsidR="000E0C83" w:rsidRDefault="000E0C83" w:rsidP="00BD52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A3CC" w14:textId="77777777" w:rsidR="000E0C83" w:rsidRDefault="000E0C83" w:rsidP="00BD5273">
      <w:pPr>
        <w:spacing w:line="240" w:lineRule="auto"/>
      </w:pPr>
      <w:r>
        <w:separator/>
      </w:r>
    </w:p>
  </w:footnote>
  <w:footnote w:type="continuationSeparator" w:id="0">
    <w:p w14:paraId="12243B41" w14:textId="77777777" w:rsidR="000E0C83" w:rsidRDefault="000E0C83" w:rsidP="00BD52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6435" w14:textId="4CF0E9F2" w:rsidR="00BD5273" w:rsidRDefault="00BD5273">
    <w:pPr>
      <w:pStyle w:val="Header"/>
    </w:pPr>
    <w:r>
      <w:rPr>
        <w:noProof/>
      </w:rPr>
      <w:drawing>
        <wp:anchor distT="0" distB="0" distL="114300" distR="114300" simplePos="0" relativeHeight="251659264" behindDoc="0" locked="0" layoutInCell="1" allowOverlap="1" wp14:anchorId="42FAAF1F" wp14:editId="2CB023F0">
          <wp:simplePos x="0" y="0"/>
          <wp:positionH relativeFrom="column">
            <wp:posOffset>3724275</wp:posOffset>
          </wp:positionH>
          <wp:positionV relativeFrom="paragraph">
            <wp:posOffset>-1206178</wp:posOffset>
          </wp:positionV>
          <wp:extent cx="2603924" cy="889948"/>
          <wp:effectExtent l="0" t="0" r="6350" b="5715"/>
          <wp:wrapNone/>
          <wp:docPr id="10349033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03367" name=""/>
                  <pic:cNvPicPr/>
                </pic:nvPicPr>
                <pic:blipFill>
                  <a:blip r:embed="rId1">
                    <a:extLst>
                      <a:ext uri="{96DAC541-7B7A-43D3-8B79-37D633B846F1}">
                        <asvg:svgBlip xmlns:asvg="http://schemas.microsoft.com/office/drawing/2016/SVG/main" r:embed="rId2"/>
                      </a:ext>
                    </a:extLst>
                  </a:blip>
                  <a:stretch>
                    <a:fillRect/>
                  </a:stretch>
                </pic:blipFill>
                <pic:spPr>
                  <a:xfrm>
                    <a:off x="0" y="0"/>
                    <a:ext cx="2606219" cy="89073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DEE7C97" wp14:editId="0C60FC3C">
          <wp:simplePos x="0" y="0"/>
          <wp:positionH relativeFrom="margin">
            <wp:align>left</wp:align>
          </wp:positionH>
          <wp:positionV relativeFrom="paragraph">
            <wp:posOffset>-1276350</wp:posOffset>
          </wp:positionV>
          <wp:extent cx="1607377" cy="933450"/>
          <wp:effectExtent l="0" t="0" r="0" b="0"/>
          <wp:wrapNone/>
          <wp:docPr id="9038035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03545" name=""/>
                  <pic:cNvPicPr/>
                </pic:nvPicPr>
                <pic:blipFill>
                  <a:blip r:embed="rId3">
                    <a:extLst>
                      <a:ext uri="{96DAC541-7B7A-43D3-8B79-37D633B846F1}">
                        <asvg:svgBlip xmlns:asvg="http://schemas.microsoft.com/office/drawing/2016/SVG/main" r:embed="rId4"/>
                      </a:ext>
                    </a:extLst>
                  </a:blip>
                  <a:stretch>
                    <a:fillRect/>
                  </a:stretch>
                </pic:blipFill>
                <pic:spPr>
                  <a:xfrm>
                    <a:off x="0" y="0"/>
                    <a:ext cx="1607377" cy="933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6A46"/>
    <w:multiLevelType w:val="multilevel"/>
    <w:tmpl w:val="8BA23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EC73A3"/>
    <w:multiLevelType w:val="multilevel"/>
    <w:tmpl w:val="FEBE7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55752B"/>
    <w:multiLevelType w:val="hybridMultilevel"/>
    <w:tmpl w:val="714A9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B3C50"/>
    <w:multiLevelType w:val="multilevel"/>
    <w:tmpl w:val="0A687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592A9D"/>
    <w:multiLevelType w:val="multilevel"/>
    <w:tmpl w:val="1A325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CE6565"/>
    <w:multiLevelType w:val="multilevel"/>
    <w:tmpl w:val="2C38D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266C0C"/>
    <w:multiLevelType w:val="multilevel"/>
    <w:tmpl w:val="8E4EE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274F1A"/>
    <w:multiLevelType w:val="multilevel"/>
    <w:tmpl w:val="9A60E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1484481"/>
    <w:multiLevelType w:val="multilevel"/>
    <w:tmpl w:val="A41C5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386826"/>
    <w:multiLevelType w:val="multilevel"/>
    <w:tmpl w:val="A088E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E0729D"/>
    <w:multiLevelType w:val="hybridMultilevel"/>
    <w:tmpl w:val="9A042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A58AF"/>
    <w:multiLevelType w:val="hybridMultilevel"/>
    <w:tmpl w:val="FD9CD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985D92"/>
    <w:multiLevelType w:val="hybridMultilevel"/>
    <w:tmpl w:val="E1842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A4EAA"/>
    <w:multiLevelType w:val="hybridMultilevel"/>
    <w:tmpl w:val="4956C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3A14EC"/>
    <w:multiLevelType w:val="hybridMultilevel"/>
    <w:tmpl w:val="BAC80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758D0"/>
    <w:multiLevelType w:val="multilevel"/>
    <w:tmpl w:val="41502F12"/>
    <w:lvl w:ilvl="0">
      <w:start w:val="1"/>
      <w:numFmt w:val="decimal"/>
      <w:pStyle w:val="SCRSHead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13F6B7F"/>
    <w:multiLevelType w:val="multilevel"/>
    <w:tmpl w:val="9A7A9F9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8A15B9"/>
    <w:multiLevelType w:val="multilevel"/>
    <w:tmpl w:val="2DA6AE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3667691">
    <w:abstractNumId w:val="8"/>
  </w:num>
  <w:num w:numId="2" w16cid:durableId="291255166">
    <w:abstractNumId w:val="15"/>
  </w:num>
  <w:num w:numId="3" w16cid:durableId="280113935">
    <w:abstractNumId w:val="1"/>
  </w:num>
  <w:num w:numId="4" w16cid:durableId="237519656">
    <w:abstractNumId w:val="5"/>
  </w:num>
  <w:num w:numId="5" w16cid:durableId="1807431262">
    <w:abstractNumId w:val="7"/>
  </w:num>
  <w:num w:numId="6" w16cid:durableId="1492478371">
    <w:abstractNumId w:val="0"/>
  </w:num>
  <w:num w:numId="7" w16cid:durableId="2071225301">
    <w:abstractNumId w:val="6"/>
  </w:num>
  <w:num w:numId="8" w16cid:durableId="1121723206">
    <w:abstractNumId w:val="9"/>
  </w:num>
  <w:num w:numId="9" w16cid:durableId="882593506">
    <w:abstractNumId w:val="4"/>
  </w:num>
  <w:num w:numId="10" w16cid:durableId="20131646">
    <w:abstractNumId w:val="3"/>
  </w:num>
  <w:num w:numId="11" w16cid:durableId="1173762012">
    <w:abstractNumId w:val="11"/>
  </w:num>
  <w:num w:numId="12" w16cid:durableId="316301860">
    <w:abstractNumId w:val="13"/>
  </w:num>
  <w:num w:numId="13" w16cid:durableId="743916930">
    <w:abstractNumId w:val="16"/>
  </w:num>
  <w:num w:numId="14" w16cid:durableId="175774185">
    <w:abstractNumId w:val="10"/>
  </w:num>
  <w:num w:numId="15" w16cid:durableId="387268485">
    <w:abstractNumId w:val="17"/>
  </w:num>
  <w:num w:numId="16" w16cid:durableId="1730418944">
    <w:abstractNumId w:val="12"/>
  </w:num>
  <w:num w:numId="17" w16cid:durableId="1500076226">
    <w:abstractNumId w:val="14"/>
  </w:num>
  <w:num w:numId="18" w16cid:durableId="1554999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16E"/>
    <w:rsid w:val="000E0C83"/>
    <w:rsid w:val="00323A0D"/>
    <w:rsid w:val="006A116E"/>
    <w:rsid w:val="00836971"/>
    <w:rsid w:val="00AD4872"/>
    <w:rsid w:val="00BD5273"/>
    <w:rsid w:val="00CA1F7E"/>
    <w:rsid w:val="00CF6BC9"/>
    <w:rsid w:val="00D80E5B"/>
    <w:rsid w:val="00EE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49E8"/>
  <w15:docId w15:val="{0D368819-E90E-4F47-8A4A-46ABC2BA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D5273"/>
    <w:pPr>
      <w:tabs>
        <w:tab w:val="center" w:pos="4680"/>
        <w:tab w:val="right" w:pos="9360"/>
      </w:tabs>
      <w:spacing w:line="240" w:lineRule="auto"/>
    </w:pPr>
  </w:style>
  <w:style w:type="character" w:customStyle="1" w:styleId="HeaderChar">
    <w:name w:val="Header Char"/>
    <w:basedOn w:val="DefaultParagraphFont"/>
    <w:link w:val="Header"/>
    <w:uiPriority w:val="99"/>
    <w:rsid w:val="00BD5273"/>
  </w:style>
  <w:style w:type="paragraph" w:styleId="Footer">
    <w:name w:val="footer"/>
    <w:basedOn w:val="Normal"/>
    <w:link w:val="FooterChar"/>
    <w:uiPriority w:val="99"/>
    <w:unhideWhenUsed/>
    <w:rsid w:val="00BD5273"/>
    <w:pPr>
      <w:tabs>
        <w:tab w:val="center" w:pos="4680"/>
        <w:tab w:val="right" w:pos="9360"/>
      </w:tabs>
      <w:spacing w:line="240" w:lineRule="auto"/>
    </w:pPr>
  </w:style>
  <w:style w:type="character" w:customStyle="1" w:styleId="FooterChar">
    <w:name w:val="Footer Char"/>
    <w:basedOn w:val="DefaultParagraphFont"/>
    <w:link w:val="Footer"/>
    <w:uiPriority w:val="99"/>
    <w:rsid w:val="00BD5273"/>
  </w:style>
  <w:style w:type="paragraph" w:customStyle="1" w:styleId="SCRSHeader">
    <w:name w:val="SCRS Header"/>
    <w:basedOn w:val="Normal"/>
    <w:link w:val="SCRSHeaderChar"/>
    <w:qFormat/>
    <w:rsid w:val="00BD5273"/>
    <w:pPr>
      <w:numPr>
        <w:numId w:val="2"/>
      </w:numPr>
      <w:ind w:left="0"/>
    </w:pPr>
    <w:rPr>
      <w:rFonts w:ascii="Montserrat" w:hAnsi="Montserrat"/>
      <w:b/>
      <w:color w:val="0795FF"/>
      <w:sz w:val="36"/>
      <w:szCs w:val="36"/>
    </w:rPr>
  </w:style>
  <w:style w:type="character" w:customStyle="1" w:styleId="SCRSHeaderChar">
    <w:name w:val="SCRS Header Char"/>
    <w:basedOn w:val="DefaultParagraphFont"/>
    <w:link w:val="SCRSHeader"/>
    <w:rsid w:val="00BD5273"/>
    <w:rPr>
      <w:rFonts w:ascii="Montserrat" w:hAnsi="Montserrat"/>
      <w:b/>
      <w:color w:val="0795FF"/>
      <w:sz w:val="36"/>
      <w:szCs w:val="36"/>
    </w:rPr>
  </w:style>
  <w:style w:type="paragraph" w:styleId="ListParagraph">
    <w:name w:val="List Paragraph"/>
    <w:basedOn w:val="Normal"/>
    <w:uiPriority w:val="34"/>
    <w:qFormat/>
    <w:rsid w:val="00CF6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860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Sean Soth</cp:lastModifiedBy>
  <cp:revision>2</cp:revision>
  <dcterms:created xsi:type="dcterms:W3CDTF">2025-03-05T23:48:00Z</dcterms:created>
  <dcterms:modified xsi:type="dcterms:W3CDTF">2025-03-05T23:48:00Z</dcterms:modified>
</cp:coreProperties>
</file>